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1A" w:rsidRPr="004A0D1A" w:rsidRDefault="004A0D1A" w:rsidP="004A0D1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</w:p>
    <w:p w:rsidR="004A0D1A" w:rsidRPr="004A0D1A" w:rsidRDefault="004A0D1A" w:rsidP="004A0D1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4A0D1A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Администрация города Дубны Московской области</w:t>
      </w:r>
    </w:p>
    <w:p w:rsidR="004A0D1A" w:rsidRPr="004A0D1A" w:rsidRDefault="004A0D1A" w:rsidP="004A0D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4A0D1A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Управление народного образования</w:t>
      </w:r>
    </w:p>
    <w:p w:rsidR="004A0D1A" w:rsidRPr="004A0D1A" w:rsidRDefault="004A0D1A" w:rsidP="004A0D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4A0D1A" w:rsidRPr="004A0D1A" w:rsidRDefault="004A0D1A" w:rsidP="004A0D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4A0D1A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МУНИЦИПАЛЬНОЕ БЮДЖЕТНОЕ ОБЩЕОБРАЗОВАТЕЛЬНОЕ УЧРЕЖДЕНИЕ</w:t>
      </w:r>
    </w:p>
    <w:p w:rsidR="004A0D1A" w:rsidRPr="004A0D1A" w:rsidRDefault="004A0D1A" w:rsidP="004A0D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4A0D1A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06F18AED" wp14:editId="7B6B5693">
            <wp:simplePos x="0" y="0"/>
            <wp:positionH relativeFrom="column">
              <wp:posOffset>5267325</wp:posOffset>
            </wp:positionH>
            <wp:positionV relativeFrom="paragraph">
              <wp:posOffset>254000</wp:posOffset>
            </wp:positionV>
            <wp:extent cx="1600200" cy="1609725"/>
            <wp:effectExtent l="0" t="0" r="0" b="9525"/>
            <wp:wrapNone/>
            <wp:docPr id="2" name="Рисунок 2" descr="Описание: D:\2017-2018\печатьподпис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-2018\печатьподпись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1A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«СРЕДНЯЯ ОБЩЕОБРАЗОВАТЕЛЬНАЯ ШКОЛА № 1 С УГЛУБЛЕННЫМ ИЗУЧЕНИЕМ ОТДЕЛЬНЫХ ПРЕДМЕТОВ Г. ДУБНЫ МОСКОВСКОЙ ОБЛАСТИ»</w:t>
      </w:r>
    </w:p>
    <w:p w:rsidR="004A0D1A" w:rsidRPr="004A0D1A" w:rsidRDefault="004A0D1A" w:rsidP="004A0D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4A0D1A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(школа № 1)</w:t>
      </w:r>
    </w:p>
    <w:p w:rsidR="004A0D1A" w:rsidRPr="004A0D1A" w:rsidRDefault="004A0D1A" w:rsidP="004A0D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4A0D1A" w:rsidRPr="004A0D1A" w:rsidRDefault="004A0D1A" w:rsidP="004A0D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4A0D1A" w:rsidRPr="004A0D1A" w:rsidRDefault="004A0D1A" w:rsidP="004A0D1A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  <w:lang w:eastAsia="en-US"/>
        </w:rPr>
      </w:pPr>
      <w:r w:rsidRPr="004A0D1A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УТВЕРЖДЕНО</w:t>
      </w:r>
    </w:p>
    <w:p w:rsidR="004A0D1A" w:rsidRPr="004A0D1A" w:rsidRDefault="004A0D1A" w:rsidP="004A0D1A">
      <w:pPr>
        <w:autoSpaceDE w:val="0"/>
        <w:autoSpaceDN w:val="0"/>
        <w:spacing w:after="0" w:line="228" w:lineRule="auto"/>
        <w:ind w:right="2428"/>
        <w:jc w:val="right"/>
        <w:rPr>
          <w:rFonts w:ascii="Cambria" w:eastAsia="MS Mincho" w:hAnsi="Cambria" w:cs="Times New Roman"/>
          <w:lang w:eastAsia="en-US"/>
        </w:rPr>
      </w:pPr>
      <w:r w:rsidRPr="004A0D1A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5FE5333F" wp14:editId="76EBDCD0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2724150" cy="786789"/>
            <wp:effectExtent l="0" t="0" r="0" b="0"/>
            <wp:wrapNone/>
            <wp:docPr id="3" name="Рисунок 3" descr="Описание: D:\2017-2018\печать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2017-2018\печать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1A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Директор</w:t>
      </w:r>
    </w:p>
    <w:p w:rsidR="004A0D1A" w:rsidRPr="004A0D1A" w:rsidRDefault="004A0D1A" w:rsidP="004A0D1A">
      <w:pPr>
        <w:autoSpaceDE w:val="0"/>
        <w:autoSpaceDN w:val="0"/>
        <w:spacing w:before="182" w:after="0" w:line="228" w:lineRule="auto"/>
        <w:ind w:right="716"/>
        <w:jc w:val="right"/>
        <w:rPr>
          <w:rFonts w:ascii="Cambria" w:eastAsia="MS Mincho" w:hAnsi="Cambria" w:cs="Times New Roman"/>
          <w:lang w:eastAsia="en-US"/>
        </w:rPr>
      </w:pPr>
      <w:r w:rsidRPr="004A0D1A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______________</w:t>
      </w:r>
      <w:proofErr w:type="spellStart"/>
      <w:r w:rsidRPr="004A0D1A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А.И.Руденко</w:t>
      </w:r>
      <w:proofErr w:type="spellEnd"/>
    </w:p>
    <w:p w:rsidR="004A0D1A" w:rsidRPr="004A0D1A" w:rsidRDefault="004A0D1A" w:rsidP="004A0D1A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  <w:lang w:eastAsia="en-US"/>
        </w:rPr>
      </w:pPr>
      <w:r w:rsidRPr="004A0D1A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Приказ №56от "31" 08. 2022 г.</w:t>
      </w: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A0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Программа </w:t>
      </w:r>
    </w:p>
    <w:p w:rsid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внеурочной деятельности </w:t>
      </w: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9-х</w:t>
      </w:r>
      <w:r w:rsidRPr="004A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D1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основного общего образования </w:t>
      </w:r>
      <w:r w:rsidRPr="004A0D1A">
        <w:rPr>
          <w:rFonts w:eastAsiaTheme="minorHAnsi"/>
          <w:sz w:val="24"/>
          <w:szCs w:val="24"/>
          <w:lang w:eastAsia="en-US"/>
        </w:rPr>
        <w:br/>
      </w:r>
      <w:r w:rsidRPr="004A0D1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 2022-2023 учебный год</w:t>
      </w: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A0D1A" w:rsidRPr="004A0D1A" w:rsidRDefault="004A0D1A" w:rsidP="004A0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Hlk117800509"/>
      <w:r w:rsidRPr="004A0D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Математический клуб</w:t>
      </w:r>
      <w:r w:rsidRPr="004A0D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bookmarkEnd w:id="0"/>
    <w:p w:rsidR="004A0D1A" w:rsidRDefault="004A0D1A" w:rsidP="004A0D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  <w:r w:rsidRPr="004A0D1A"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  <w:t>Составител</w:t>
      </w:r>
      <w:r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  <w:t>ь</w:t>
      </w:r>
      <w:r w:rsidRPr="004A0D1A"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  <w:t>:</w:t>
      </w: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Default="004A0D1A" w:rsidP="004A0D1A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</w:pPr>
    </w:p>
    <w:p w:rsidR="004A0D1A" w:rsidRPr="004A0D1A" w:rsidRDefault="004A0D1A" w:rsidP="004A0D1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theme="minorBidi"/>
          <w:color w:val="000000"/>
          <w:kern w:val="0"/>
          <w:sz w:val="24"/>
          <w:szCs w:val="22"/>
          <w:lang w:eastAsia="en-US" w:bidi="ar-SA"/>
        </w:rPr>
        <w:t>Г. Дубна, 2022 г.</w:t>
      </w: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0D1A">
        <w:rPr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8A27C7" w:rsidRPr="004A0D1A" w:rsidRDefault="008A27C7" w:rsidP="004A0D1A">
      <w:pPr>
        <w:pStyle w:val="1"/>
        <w:ind w:firstLine="709"/>
        <w:jc w:val="both"/>
        <w:rPr>
          <w:rFonts w:ascii="Times New Roman" w:hAnsi="Times New Roman" w:cs="Times New Roman"/>
          <w:b/>
          <w:bCs/>
        </w:rPr>
      </w:pPr>
      <w:r w:rsidRPr="004A0D1A">
        <w:rPr>
          <w:rFonts w:ascii="Times New Roman" w:hAnsi="Times New Roman" w:cs="Times New Roman"/>
          <w:sz w:val="22"/>
          <w:szCs w:val="22"/>
        </w:rPr>
        <w:t xml:space="preserve">Изучение программы </w:t>
      </w:r>
      <w:r w:rsidR="004A0D1A" w:rsidRPr="004A0D1A">
        <w:rPr>
          <w:rFonts w:ascii="Times New Roman" w:hAnsi="Times New Roman" w:cs="Times New Roman"/>
          <w:sz w:val="22"/>
          <w:szCs w:val="28"/>
        </w:rPr>
        <w:t>«Математический клуб»</w:t>
      </w:r>
      <w:r w:rsidR="004A0D1A" w:rsidRPr="004A0D1A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 w:rsidRPr="004A0D1A">
        <w:rPr>
          <w:rFonts w:ascii="Times New Roman" w:hAnsi="Times New Roman" w:cs="Times New Roman"/>
          <w:sz w:val="22"/>
          <w:szCs w:val="22"/>
        </w:rPr>
        <w:t>позволит обучающимся лучше ориентироваться в различных ситуациях. Данная программа рассчитана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 жизни.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A0D1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Цель курса:</w:t>
      </w:r>
      <w:r w:rsidRPr="004A0D1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сформировать у учащихся представления об основных потребительских правилах и законах с помощью решения практических задач. Кроме этого, курс направлен на формирование не только математических, но и элементарных экономических знаний; включение учащихся в исследовательскую деятельность как фактор личностного развития; формирование основ правового поведения учащихся. 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0D1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Задачи курса: </w:t>
      </w:r>
    </w:p>
    <w:p w:rsidR="008A27C7" w:rsidRPr="004A0D1A" w:rsidRDefault="008A27C7" w:rsidP="004A0D1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A0D1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формирование умения оперировать рядом экономических понятий; </w:t>
      </w:r>
    </w:p>
    <w:p w:rsidR="008A27C7" w:rsidRPr="004A0D1A" w:rsidRDefault="008A27C7" w:rsidP="004A0D1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A0D1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формирование основ правового поведения учащихся; </w:t>
      </w:r>
    </w:p>
    <w:p w:rsidR="008A27C7" w:rsidRPr="004A0D1A" w:rsidRDefault="008A27C7" w:rsidP="004A0D1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A0D1A">
        <w:rPr>
          <w:rFonts w:ascii="Times New Roman" w:eastAsia="Times New Roman" w:hAnsi="Times New Roman" w:cs="Times New Roman"/>
          <w:sz w:val="22"/>
          <w:szCs w:val="22"/>
          <w:lang w:eastAsia="ru-RU"/>
        </w:rPr>
        <w:t> формирование ценностных ориентаций при решении задач и ситуаций с экономическим содержанием.</w:t>
      </w:r>
    </w:p>
    <w:p w:rsidR="008A27C7" w:rsidRPr="004A0D1A" w:rsidRDefault="008A27C7" w:rsidP="004A0D1A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8A27C7" w:rsidRPr="004A0D1A" w:rsidRDefault="008A27C7" w:rsidP="004A0D1A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формирование у обучающихся навыков применения математических знаний для решения различных жизненных задач</w:t>
      </w:r>
      <w:r w:rsidRPr="004A0D1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A27C7" w:rsidRPr="004A0D1A" w:rsidRDefault="008A27C7" w:rsidP="004A0D1A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расширение представления обучающихся о школе, как о месте реализации собственных замыслов и проектов</w:t>
      </w:r>
      <w:r w:rsidRPr="004A0D1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A27C7" w:rsidRPr="004A0D1A" w:rsidRDefault="008A27C7" w:rsidP="004A0D1A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A0D1A">
        <w:rPr>
          <w:rFonts w:ascii="Times New Roman" w:hAnsi="Times New Roman" w:cs="Times New Roman"/>
          <w:b/>
          <w:sz w:val="22"/>
          <w:szCs w:val="22"/>
        </w:rPr>
        <w:t>Общая характеристика программы курса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В основу программы проекта легла современная концепция преподавания математики: составление проектов, игровые формы занятий, различные практические занятия. В программе присутствуют темы и задания, которые стимулируют обучающихся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 xml:space="preserve">Программа рассчитана на 34 часа в год. 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b/>
          <w:sz w:val="22"/>
          <w:szCs w:val="22"/>
        </w:rPr>
        <w:t>Личностные, метапредметные и предметные результаты освоения программы проекта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Формирование УУД на каждом этапе подготовки и проведения внеурочных занятий по математике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A0D1A">
        <w:rPr>
          <w:rFonts w:ascii="Times New Roman" w:hAnsi="Times New Roman" w:cs="Times New Roman"/>
          <w:b/>
          <w:i/>
          <w:sz w:val="22"/>
          <w:szCs w:val="22"/>
        </w:rPr>
        <w:t>Личностные:</w:t>
      </w:r>
    </w:p>
    <w:p w:rsidR="008A27C7" w:rsidRPr="004A0D1A" w:rsidRDefault="008A27C7" w:rsidP="004A0D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установление связи целью учебной деятельности и ее мотивом — определение того, - «какое значение, смысл имеет для меня участие в данном занятии»;</w:t>
      </w:r>
    </w:p>
    <w:p w:rsidR="008A27C7" w:rsidRPr="004A0D1A" w:rsidRDefault="008A27C7" w:rsidP="004A0D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построение системы нравственных ценностей, выделение допустимых принципов поведения;</w:t>
      </w:r>
    </w:p>
    <w:p w:rsidR="008A27C7" w:rsidRPr="004A0D1A" w:rsidRDefault="008A27C7" w:rsidP="004A0D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 xml:space="preserve">реализация образа </w:t>
      </w:r>
      <w:proofErr w:type="gramStart"/>
      <w:r w:rsidRPr="004A0D1A"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 w:rsidRPr="004A0D1A">
        <w:rPr>
          <w:rFonts w:ascii="Times New Roman" w:hAnsi="Times New Roman" w:cs="Times New Roman"/>
          <w:sz w:val="22"/>
          <w:szCs w:val="22"/>
        </w:rPr>
        <w:t>Я</w:t>
      </w:r>
      <w:proofErr w:type="spellEnd"/>
      <w:proofErr w:type="gramEnd"/>
      <w:r w:rsidRPr="004A0D1A">
        <w:rPr>
          <w:rFonts w:ascii="Times New Roman" w:hAnsi="Times New Roman" w:cs="Times New Roman"/>
          <w:sz w:val="22"/>
          <w:szCs w:val="22"/>
        </w:rPr>
        <w:t xml:space="preserve"> - концепции), включая </w:t>
      </w:r>
      <w:proofErr w:type="spellStart"/>
      <w:r w:rsidRPr="004A0D1A">
        <w:rPr>
          <w:rFonts w:ascii="Times New Roman" w:hAnsi="Times New Roman" w:cs="Times New Roman"/>
          <w:sz w:val="22"/>
          <w:szCs w:val="22"/>
        </w:rPr>
        <w:t>самоотношение</w:t>
      </w:r>
      <w:proofErr w:type="spellEnd"/>
      <w:r w:rsidRPr="004A0D1A">
        <w:rPr>
          <w:rFonts w:ascii="Times New Roman" w:hAnsi="Times New Roman" w:cs="Times New Roman"/>
          <w:sz w:val="22"/>
          <w:szCs w:val="22"/>
        </w:rPr>
        <w:t xml:space="preserve"> и самооценку;</w:t>
      </w:r>
    </w:p>
    <w:p w:rsidR="008A27C7" w:rsidRPr="004A0D1A" w:rsidRDefault="008A27C7" w:rsidP="004A0D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A0D1A">
        <w:rPr>
          <w:rFonts w:ascii="Times New Roman" w:hAnsi="Times New Roman" w:cs="Times New Roman"/>
          <w:b/>
          <w:i/>
          <w:sz w:val="22"/>
          <w:szCs w:val="22"/>
        </w:rPr>
        <w:t>Регулятивные:</w:t>
      </w:r>
    </w:p>
    <w:p w:rsidR="008A27C7" w:rsidRPr="004A0D1A" w:rsidRDefault="008A27C7" w:rsidP="004A0D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определение образовательной цели, выбор пути ее достижения;</w:t>
      </w:r>
    </w:p>
    <w:p w:rsidR="008A27C7" w:rsidRPr="004A0D1A" w:rsidRDefault="008A27C7" w:rsidP="004A0D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рефлексия способов и условий действий; самоконтроль и самооценка; критичность;</w:t>
      </w:r>
    </w:p>
    <w:p w:rsidR="008A27C7" w:rsidRPr="004A0D1A" w:rsidRDefault="008A27C7" w:rsidP="004A0D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8A27C7" w:rsidRPr="004A0D1A" w:rsidRDefault="008A27C7" w:rsidP="004A0D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4A0D1A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A0D1A">
        <w:rPr>
          <w:rFonts w:ascii="Times New Roman" w:hAnsi="Times New Roman" w:cs="Times New Roman"/>
          <w:b/>
          <w:i/>
          <w:sz w:val="22"/>
          <w:szCs w:val="22"/>
        </w:rPr>
        <w:t>Коммуникативные:</w:t>
      </w:r>
    </w:p>
    <w:p w:rsidR="008A27C7" w:rsidRPr="004A0D1A" w:rsidRDefault="008A27C7" w:rsidP="004A0D1A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8A27C7" w:rsidRPr="004A0D1A" w:rsidRDefault="008A27C7" w:rsidP="004A0D1A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контроль и оценка своей деятельности, обращение по необходимости за помощью к сверстникам и взрослым;</w:t>
      </w:r>
    </w:p>
    <w:p w:rsidR="008A27C7" w:rsidRPr="004A0D1A" w:rsidRDefault="008A27C7" w:rsidP="004A0D1A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формирование умения коллективного взаимодействия.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A0D1A">
        <w:rPr>
          <w:rFonts w:ascii="Times New Roman" w:hAnsi="Times New Roman" w:cs="Times New Roman"/>
          <w:b/>
          <w:i/>
          <w:sz w:val="22"/>
          <w:szCs w:val="22"/>
        </w:rPr>
        <w:t>Познавательные:</w:t>
      </w:r>
    </w:p>
    <w:p w:rsidR="008A27C7" w:rsidRPr="004A0D1A" w:rsidRDefault="008A27C7" w:rsidP="004A0D1A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8A27C7" w:rsidRPr="004A0D1A" w:rsidRDefault="008A27C7" w:rsidP="004A0D1A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 xml:space="preserve">умение оперировать </w:t>
      </w:r>
      <w:proofErr w:type="spellStart"/>
      <w:r w:rsidRPr="004A0D1A">
        <w:rPr>
          <w:rFonts w:ascii="Times New Roman" w:hAnsi="Times New Roman" w:cs="Times New Roman"/>
          <w:sz w:val="22"/>
          <w:szCs w:val="22"/>
        </w:rPr>
        <w:t>сознакомой</w:t>
      </w:r>
      <w:proofErr w:type="spellEnd"/>
      <w:r w:rsidRPr="004A0D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0D1A">
        <w:rPr>
          <w:rFonts w:ascii="Times New Roman" w:hAnsi="Times New Roman" w:cs="Times New Roman"/>
          <w:sz w:val="22"/>
          <w:szCs w:val="22"/>
        </w:rPr>
        <w:t>информацией;  формировать</w:t>
      </w:r>
      <w:proofErr w:type="gramEnd"/>
      <w:r w:rsidRPr="004A0D1A">
        <w:rPr>
          <w:rFonts w:ascii="Times New Roman" w:hAnsi="Times New Roman" w:cs="Times New Roman"/>
          <w:sz w:val="22"/>
          <w:szCs w:val="22"/>
        </w:rPr>
        <w:t xml:space="preserve"> обобщенный способ действия; </w:t>
      </w:r>
      <w:r w:rsidRPr="004A0D1A">
        <w:rPr>
          <w:rFonts w:ascii="Times New Roman" w:hAnsi="Times New Roman" w:cs="Times New Roman"/>
          <w:sz w:val="22"/>
          <w:szCs w:val="22"/>
        </w:rPr>
        <w:lastRenderedPageBreak/>
        <w:t>моделировать задачу и ее условия, оценивать и корректировать результаты решения задачи.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D1A">
        <w:rPr>
          <w:rFonts w:ascii="Times New Roman" w:hAnsi="Times New Roman" w:cs="Times New Roman"/>
          <w:sz w:val="22"/>
          <w:szCs w:val="22"/>
        </w:rPr>
        <w:t>Изучение курса дает возможность обучающимся достичь следующих результатов развития: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i/>
          <w:iCs/>
          <w:color w:val="00000A"/>
          <w:sz w:val="22"/>
          <w:szCs w:val="22"/>
        </w:rPr>
        <w:t>1) в личностном направлении:</w:t>
      </w:r>
    </w:p>
    <w:p w:rsidR="008A27C7" w:rsidRPr="004A0D1A" w:rsidRDefault="008A27C7" w:rsidP="004A0D1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8A27C7" w:rsidRPr="004A0D1A" w:rsidRDefault="008A27C7" w:rsidP="004A0D1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распознавать логически некорректные высказывания, отличать гипотезу от факта;</w:t>
      </w:r>
    </w:p>
    <w:p w:rsidR="008A27C7" w:rsidRPr="004A0D1A" w:rsidRDefault="008A27C7" w:rsidP="004A0D1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креативность мышления, инициатива, находчивость, активность при применение математических знаний для решения конкретных жизненных задач;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i/>
          <w:iCs/>
          <w:color w:val="00000A"/>
          <w:sz w:val="22"/>
          <w:szCs w:val="22"/>
        </w:rPr>
        <w:t>2) в метапредметном направлении:</w:t>
      </w:r>
    </w:p>
    <w:p w:rsidR="008A27C7" w:rsidRPr="004A0D1A" w:rsidRDefault="008A27C7" w:rsidP="004A0D1A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видеть математическую задачу в конспекте проблемной ситуации в окружающей жизни;</w:t>
      </w:r>
    </w:p>
    <w:p w:rsidR="008A27C7" w:rsidRPr="004A0D1A" w:rsidRDefault="008A27C7" w:rsidP="004A0D1A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находить в различных источниках информацию, необходимую для решения математических проблем;</w:t>
      </w:r>
    </w:p>
    <w:p w:rsidR="008A27C7" w:rsidRPr="004A0D1A" w:rsidRDefault="008A27C7" w:rsidP="004A0D1A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8A27C7" w:rsidRPr="004A0D1A" w:rsidRDefault="008A27C7" w:rsidP="004A0D1A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применять индуктивные и дедуктивные способы рассуждений;</w:t>
      </w:r>
    </w:p>
    <w:p w:rsidR="008A27C7" w:rsidRPr="004A0D1A" w:rsidRDefault="008A27C7" w:rsidP="004A0D1A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A27C7" w:rsidRPr="004A0D1A" w:rsidRDefault="008A27C7" w:rsidP="004A0D1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i/>
          <w:iCs/>
          <w:color w:val="00000A"/>
          <w:sz w:val="22"/>
          <w:szCs w:val="22"/>
        </w:rPr>
        <w:t>3) в предметном направлении:</w:t>
      </w:r>
    </w:p>
    <w:p w:rsidR="008A27C7" w:rsidRPr="004A0D1A" w:rsidRDefault="008A27C7" w:rsidP="004A0D1A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грамотно применять математическую символику, использовать различные математические языки;</w:t>
      </w:r>
    </w:p>
    <w:p w:rsidR="008A27C7" w:rsidRPr="004A0D1A" w:rsidRDefault="008A27C7" w:rsidP="004A0D1A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развитие направлений о числе, овладение навыками устного счета;</w:t>
      </w:r>
    </w:p>
    <w:p w:rsidR="008A27C7" w:rsidRPr="004A0D1A" w:rsidRDefault="008A27C7" w:rsidP="004A0D1A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A27C7" w:rsidRPr="004A0D1A" w:rsidRDefault="008A27C7" w:rsidP="004A0D1A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A0D1A">
        <w:rPr>
          <w:rFonts w:ascii="Times New Roman" w:hAnsi="Times New Roman" w:cs="Times New Roman"/>
          <w:color w:val="00000A"/>
          <w:sz w:val="22"/>
          <w:szCs w:val="22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A27C7" w:rsidRPr="004A0D1A" w:rsidRDefault="008A27C7" w:rsidP="004A0D1A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A0D1A">
        <w:rPr>
          <w:b/>
          <w:bCs/>
          <w:sz w:val="22"/>
          <w:szCs w:val="22"/>
        </w:rPr>
        <w:t>Конечный результат:</w:t>
      </w:r>
    </w:p>
    <w:p w:rsidR="008A27C7" w:rsidRPr="004A0D1A" w:rsidRDefault="008A27C7" w:rsidP="004A0D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0D1A">
        <w:rPr>
          <w:sz w:val="22"/>
          <w:szCs w:val="22"/>
        </w:rPr>
        <w:t>1.Обучающиеся должны четко представлять себе, как можно использовать полученные ими теоретические результаты на практике (метод проекта</w:t>
      </w:r>
      <w:r w:rsidR="004A0D1A" w:rsidRPr="004A0D1A">
        <w:rPr>
          <w:sz w:val="22"/>
          <w:szCs w:val="22"/>
        </w:rPr>
        <w:t>), создание</w:t>
      </w:r>
      <w:r w:rsidRPr="004A0D1A">
        <w:rPr>
          <w:sz w:val="22"/>
          <w:szCs w:val="22"/>
        </w:rPr>
        <w:t xml:space="preserve"> презентаций, подготовка докладов. </w:t>
      </w:r>
    </w:p>
    <w:p w:rsidR="008A27C7" w:rsidRPr="004A0D1A" w:rsidRDefault="008A27C7" w:rsidP="004A0D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0D1A">
        <w:rPr>
          <w:sz w:val="22"/>
          <w:szCs w:val="22"/>
        </w:rPr>
        <w:t>2. Учащиеся должны уметь:</w:t>
      </w:r>
    </w:p>
    <w:p w:rsidR="008A27C7" w:rsidRPr="004A0D1A" w:rsidRDefault="008A27C7" w:rsidP="004A0D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0D1A">
        <w:rPr>
          <w:b/>
          <w:bCs/>
          <w:sz w:val="22"/>
          <w:szCs w:val="22"/>
        </w:rPr>
        <w:t xml:space="preserve">- </w:t>
      </w:r>
      <w:r w:rsidRPr="004A0D1A">
        <w:rPr>
          <w:sz w:val="22"/>
          <w:szCs w:val="22"/>
        </w:rPr>
        <w:t>самостоятельно конструировать свои знания;</w:t>
      </w:r>
    </w:p>
    <w:p w:rsidR="008A27C7" w:rsidRPr="004A0D1A" w:rsidRDefault="008A27C7" w:rsidP="004A0D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0D1A">
        <w:rPr>
          <w:sz w:val="22"/>
          <w:szCs w:val="22"/>
        </w:rPr>
        <w:t>- ориентироваться в информационном пространстве;</w:t>
      </w:r>
    </w:p>
    <w:p w:rsidR="008A27C7" w:rsidRPr="004A0D1A" w:rsidRDefault="008A27C7" w:rsidP="004A0D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0D1A">
        <w:rPr>
          <w:sz w:val="22"/>
          <w:szCs w:val="22"/>
        </w:rPr>
        <w:t>- анализировать полученную информацию;</w:t>
      </w:r>
    </w:p>
    <w:p w:rsidR="008A27C7" w:rsidRPr="004A0D1A" w:rsidRDefault="008A27C7" w:rsidP="004A0D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0D1A">
        <w:rPr>
          <w:sz w:val="22"/>
          <w:szCs w:val="22"/>
        </w:rPr>
        <w:t>- самостоятельно выдвигать гипотезы, применять решения;</w:t>
      </w:r>
    </w:p>
    <w:p w:rsidR="008A27C7" w:rsidRPr="004A0D1A" w:rsidRDefault="008A27C7" w:rsidP="004A0D1A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0D1A">
        <w:rPr>
          <w:sz w:val="22"/>
          <w:szCs w:val="22"/>
        </w:rPr>
        <w:t>3.Защита проектной работы в конце учебного года.</w:t>
      </w:r>
    </w:p>
    <w:p w:rsidR="008A27C7" w:rsidRPr="004A0D1A" w:rsidRDefault="008A27C7" w:rsidP="004A0D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tbl>
      <w:tblPr>
        <w:tblW w:w="11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1276"/>
        <w:gridCol w:w="993"/>
        <w:gridCol w:w="993"/>
      </w:tblGrid>
      <w:tr w:rsidR="004A0D1A" w:rsidRPr="004A0D1A" w:rsidTr="004A0D1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Количество часов по теме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D1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696D8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Электронные (цифровые) образовательные ресурсы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Дата</w:t>
            </w:r>
          </w:p>
        </w:tc>
      </w:tr>
      <w:tr w:rsidR="004A0D1A" w:rsidRPr="004A0D1A" w:rsidTr="004A0D1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color w:val="00000A"/>
              </w:rPr>
              <w:t>Применение математики в различных жизненных ситуациях</w:t>
            </w: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34 часа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4A0D1A" w:rsidRPr="004A0D1A" w:rsidTr="004A0D1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hAnsi="Times New Roman" w:cs="Times New Roman"/>
              </w:rPr>
              <w:t xml:space="preserve">Социальная арифметика   </w:t>
            </w:r>
          </w:p>
        </w:tc>
        <w:tc>
          <w:tcPr>
            <w:tcW w:w="3828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26 часов</w:t>
            </w: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hAnsi="Times New Roman" w:cs="Times New Roman"/>
              </w:rPr>
              <w:t>Заработная плата и различные ее формы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hyperlink r:id="rId7" w:history="1">
              <w:r w:rsidRPr="00D62AFC">
                <w:rPr>
                  <w:rStyle w:val="a6"/>
                  <w:rFonts w:ascii="Times New Roman" w:eastAsia="Calibri" w:hAnsi="Times New Roman" w:cs="Times New Roman"/>
                </w:rPr>
                <w:t>https://mat.1sept.ru/view_article.php?ID=200901203</w:t>
              </w:r>
            </w:hyperlink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hAnsi="Times New Roman" w:cs="Times New Roman"/>
              </w:rPr>
              <w:t>Заработная плата и различные ее формы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hAnsi="Times New Roman" w:cs="Times New Roman"/>
              </w:rPr>
              <w:t>Заработная плата и различные ее формы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Коммунальные платежи и их виды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Коммунальные платежи и их виды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Коммунальные платежи и их виды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1.7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Страхование и его виды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1.8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Страхование и его виды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1.9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Страхование и его виды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1.10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Деньги и обмен валюты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1.11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Деньги и обмен валюты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1.12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Деньги и обмен валюты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1.13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Банковские вклады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1.14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Банковские вклады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1.15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Кредиты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1.16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Кредиты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1.17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Простая арифметика: домашние затраты и расходы населения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1.18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Простая арифметика: домашние затраты и расходы населения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1.19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</w:rPr>
              <w:t>Простая арифметика: домашние затраты и расходы населения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1.20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Кулинарные рецепты. Задачи на смеси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1.21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Кулинарные рецепты. Задачи на смеси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1.22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Расчет сметы на ремонт комнаты «моей мечты»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1.23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Расчет коммунальных услуг своей семьи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1.24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Расчет коммунальных услуг своей семьи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723612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1.25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Проектная работа по социальной арифметике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4A0D1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1.26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Экономическая игра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D1A" w:rsidRPr="004A0D1A" w:rsidTr="004A0D1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Диалоги о статистике. Статистические исследования. Проектная работа по статистическим исследованиям</w:t>
            </w:r>
          </w:p>
        </w:tc>
        <w:tc>
          <w:tcPr>
            <w:tcW w:w="3828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4A0D1A">
              <w:rPr>
                <w:rFonts w:ascii="Times New Roman" w:eastAsia="Calibri" w:hAnsi="Times New Roman" w:cs="Times New Roman"/>
                <w:color w:val="00000A"/>
              </w:rPr>
              <w:t>8ч</w:t>
            </w: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696D8A" w:rsidRPr="004A0D1A" w:rsidTr="00C063A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2.1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Статистические исследования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A"/>
              </w:rPr>
              <w:instrText xml:space="preserve"> HYPERLINK "</w:instrText>
            </w:r>
            <w:r w:rsidRPr="00696D8A">
              <w:rPr>
                <w:rFonts w:ascii="Times New Roman" w:eastAsia="Calibri" w:hAnsi="Times New Roman" w:cs="Times New Roman"/>
                <w:color w:val="00000A"/>
              </w:rPr>
              <w:instrText>https://skachatvs.com/3442042/laboratornaya-provesti-korrelyatsionnyy-i-regressionnyy-analiz</w:instrText>
            </w:r>
            <w:r>
              <w:rPr>
                <w:rFonts w:ascii="Times New Roman" w:eastAsia="Calibri" w:hAnsi="Times New Roman" w:cs="Times New Roman"/>
                <w:color w:val="00000A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color w:val="00000A"/>
              </w:rPr>
              <w:fldChar w:fldCharType="separate"/>
            </w:r>
            <w:r w:rsidRPr="00D62AFC">
              <w:rPr>
                <w:rStyle w:val="a6"/>
                <w:rFonts w:ascii="Times New Roman" w:eastAsia="Calibri" w:hAnsi="Times New Roman" w:cs="Times New Roman"/>
              </w:rPr>
              <w:t>https://skachatvs.com/3442042/laboratornaya-provesti-korrelyatsionnyy-i-regressionnyy-analiz</w:t>
            </w:r>
            <w:r>
              <w:rPr>
                <w:rFonts w:ascii="Times New Roman" w:eastAsia="Calibri" w:hAnsi="Times New Roman" w:cs="Times New Roman"/>
                <w:color w:val="00000A"/>
              </w:rPr>
              <w:fldChar w:fldCharType="end"/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696D8A" w:rsidRPr="004A0D1A" w:rsidTr="00C063A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2.2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Статистические исследования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696D8A" w:rsidRPr="004A0D1A" w:rsidTr="00C063A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2.3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Составление диаграмм для наглядного представления данных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696D8A" w:rsidRPr="004A0D1A" w:rsidTr="00C063A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2.4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696D8A" w:rsidRPr="004A0D1A" w:rsidTr="00C063A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2.5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696D8A" w:rsidRPr="004A0D1A" w:rsidTr="004A0D1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2.6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696D8A" w:rsidRPr="004A0D1A" w:rsidRDefault="00696D8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A0D1A" w:rsidRPr="004A0D1A" w:rsidTr="004A0D1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2.7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Проектная работа по статистическим исследованиям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A0D1A" w:rsidRPr="004A0D1A" w:rsidTr="004A0D1A">
        <w:trPr>
          <w:trHeight w:val="1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2.8</w:t>
            </w:r>
          </w:p>
        </w:tc>
        <w:tc>
          <w:tcPr>
            <w:tcW w:w="56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4A0D1A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Игра «Самый умный»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D1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4A0D1A" w:rsidRPr="004A0D1A" w:rsidRDefault="004A0D1A" w:rsidP="004A0D1A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</w:tbl>
    <w:p w:rsidR="008A27C7" w:rsidRPr="004A0D1A" w:rsidRDefault="008A27C7" w:rsidP="004A0D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Учебно–методическое и информационное обеспечение курса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A0D1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Список литературы для подготовки и проведения занятий для учителя и ученика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Программы внеурочной деятельности для основной школы (Информатика. Математика. Программы </w:t>
      </w:r>
      <w:proofErr w:type="gram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внеурочной  деятельности</w:t>
      </w:r>
      <w:proofErr w:type="gram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основной школы: 7-9 классы /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М.С.Цветкова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О.Б.Богомолова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Н.Н.Самылкина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М.: БИНОМ.  Лаборатория знаний, 2015. – 200 с.)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Решение сложных и нестандартных задач по математике.  Голубев В.И.- М.: ИЛЕКСА, 2007 - 252с.: ил.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Канель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-Белов А. Я.,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Ковальджи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К.   Как решают нестандартные задачи / Под ред. В. </w:t>
      </w:r>
      <w:proofErr w:type="gram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О.Бугаенко.|</w:t>
      </w:r>
      <w:proofErr w:type="gram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4-е изд., 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стереотип.|М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.: МЦНМО,2008.| 96 c.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Лаппо Л.Д.</w:t>
      </w:r>
      <w:proofErr w:type="gram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,  Основной</w:t>
      </w:r>
      <w:proofErr w:type="gram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государственный экзамен.  9 класс. Математика. 3 модуля. 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Тематические тестовые задания/Л. Д. Лаппо, М.А. Попов. –Издательство 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«Экзамен», 2015. (Серия «ОГЭ (ГИА-9).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Супертренинг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»)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 Математика. 9-й </w:t>
      </w:r>
      <w:proofErr w:type="spellStart"/>
      <w:proofErr w:type="gram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класс.Подготовка</w:t>
      </w:r>
      <w:proofErr w:type="spellEnd"/>
      <w:proofErr w:type="gram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ГИА -2015: учебно-методическое пособия под   редакцией Ф.Ф. Лысенко,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С.Ю.Кулабухова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Издательство </w:t>
      </w:r>
      <w:proofErr w:type="gram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« Легион</w:t>
      </w:r>
      <w:proofErr w:type="gram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-М»,2014г.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Тематические тесты для подготовки к ОГЭ.  А.В. Семёнов,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А.С.Трепалин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И.В.Ященко</w:t>
      </w:r>
      <w:proofErr w:type="spell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Государственная итоговая </w:t>
      </w:r>
      <w:proofErr w:type="gram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аттестация  выпускников</w:t>
      </w:r>
      <w:proofErr w:type="gramEnd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 класса в новой форме. МАТЕМАТИКА.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Учебники математики 5-9 класс </w:t>
      </w:r>
    </w:p>
    <w:p w:rsidR="004A0D1A" w:rsidRPr="004A0D1A" w:rsidRDefault="004A0D1A" w:rsidP="004A0D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A0D1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 ресурсы</w:t>
      </w:r>
      <w:proofErr w:type="gramEnd"/>
    </w:p>
    <w:p w:rsidR="006A7FAB" w:rsidRPr="004A0D1A" w:rsidRDefault="006A7FAB" w:rsidP="004A0D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A7FAB" w:rsidRPr="004A0D1A" w:rsidSect="008A2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F62"/>
    <w:multiLevelType w:val="hybridMultilevel"/>
    <w:tmpl w:val="BB9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716"/>
    <w:multiLevelType w:val="multilevel"/>
    <w:tmpl w:val="12307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4FFF"/>
    <w:multiLevelType w:val="multilevel"/>
    <w:tmpl w:val="27DF4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1669"/>
    <w:multiLevelType w:val="multilevel"/>
    <w:tmpl w:val="419116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1DE2"/>
    <w:multiLevelType w:val="multilevel"/>
    <w:tmpl w:val="41BC1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818"/>
    <w:multiLevelType w:val="multilevel"/>
    <w:tmpl w:val="53C61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0987"/>
    <w:multiLevelType w:val="multilevel"/>
    <w:tmpl w:val="599909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96D33"/>
    <w:multiLevelType w:val="multilevel"/>
    <w:tmpl w:val="75796D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C7"/>
    <w:rsid w:val="004A0D1A"/>
    <w:rsid w:val="005F29D1"/>
    <w:rsid w:val="00696D8A"/>
    <w:rsid w:val="006A7FAB"/>
    <w:rsid w:val="008A27C7"/>
    <w:rsid w:val="00AE056F"/>
    <w:rsid w:val="00DF17CB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0B1A"/>
  <w15:docId w15:val="{4868A6FA-A1F0-4B00-A936-B2EC5BC5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8A27C7"/>
    <w:pPr>
      <w:widowControl w:val="0"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A27C7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8A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4A0D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0D1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A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.1sept.ru/view_article.php?ID=200901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dcterms:created xsi:type="dcterms:W3CDTF">2022-10-27T18:12:00Z</dcterms:created>
  <dcterms:modified xsi:type="dcterms:W3CDTF">2022-10-27T18:12:00Z</dcterms:modified>
</cp:coreProperties>
</file>